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3" w:rsidRDefault="00087863" w:rsidP="00087863">
      <w:pPr>
        <w:pStyle w:val="a9"/>
        <w:spacing w:line="420" w:lineRule="exact"/>
        <w:ind w:firstLine="540"/>
        <w:jc w:val="center"/>
      </w:pPr>
      <w:r>
        <w:rPr>
          <w:b/>
          <w:szCs w:val="28"/>
        </w:rPr>
        <w:t xml:space="preserve">Анализ рынка состояния конкурентной среды на рынке услуг </w:t>
      </w:r>
    </w:p>
    <w:p w:rsidR="00087863" w:rsidRDefault="00087863" w:rsidP="00087863">
      <w:pPr>
        <w:pStyle w:val="a9"/>
        <w:spacing w:line="420" w:lineRule="exact"/>
        <w:ind w:firstLine="540"/>
        <w:jc w:val="center"/>
      </w:pPr>
      <w:r>
        <w:rPr>
          <w:b/>
          <w:szCs w:val="28"/>
        </w:rPr>
        <w:t>по теплоснабжению</w:t>
      </w:r>
      <w:r>
        <w:rPr>
          <w:szCs w:val="28"/>
        </w:rPr>
        <w:t> 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 xml:space="preserve">В городах Республики Дагестан с населением более 100 тыс. человек на рынке услуг по теплоснабжению по состоянию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087863">
        <w:rPr>
          <w:szCs w:val="28"/>
        </w:rPr>
        <w:t xml:space="preserve"> </w:t>
      </w:r>
      <w:r>
        <w:rPr>
          <w:szCs w:val="28"/>
        </w:rPr>
        <w:t>квартала 2011 год осуществляют следующие организации.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b/>
          <w:szCs w:val="28"/>
        </w:rPr>
        <w:t>Город Махачкала</w:t>
      </w:r>
      <w:r>
        <w:rPr>
          <w:szCs w:val="28"/>
        </w:rPr>
        <w:t>:</w:t>
      </w:r>
    </w:p>
    <w:p w:rsidR="00087863" w:rsidRDefault="00087863" w:rsidP="00087863">
      <w:pPr>
        <w:pStyle w:val="a9"/>
        <w:spacing w:line="420" w:lineRule="exact"/>
        <w:ind w:firstLine="900"/>
      </w:pPr>
      <w:r>
        <w:rPr>
          <w:sz w:val="14"/>
          <w:szCs w:val="14"/>
        </w:rPr>
        <w:t xml:space="preserve">                         </w:t>
      </w:r>
      <w:r>
        <w:rPr>
          <w:szCs w:val="28"/>
        </w:rPr>
        <w:t>I.</w:t>
      </w:r>
      <w:r>
        <w:rPr>
          <w:sz w:val="14"/>
          <w:szCs w:val="14"/>
        </w:rPr>
        <w:t xml:space="preserve">                 </w:t>
      </w:r>
      <w:r>
        <w:rPr>
          <w:szCs w:val="28"/>
        </w:rPr>
        <w:t>Основным источником информации о составе хозяйствующих субъектов действующих на рынке, брались данные, представленные Администрацией МО «город Махачкала».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Для расчета объема товарного рынка, доли хозяйствующих субъектов, действующих на рынке, являются данные, представленные ОАО «</w:t>
      </w:r>
      <w:proofErr w:type="spellStart"/>
      <w:r>
        <w:rPr>
          <w:szCs w:val="28"/>
        </w:rPr>
        <w:t>Махачкалатеплоэнерго</w:t>
      </w:r>
      <w:proofErr w:type="spellEnd"/>
      <w:r>
        <w:rPr>
          <w:szCs w:val="28"/>
        </w:rPr>
        <w:t>», ООО «</w:t>
      </w:r>
      <w:proofErr w:type="spellStart"/>
      <w:r>
        <w:rPr>
          <w:szCs w:val="28"/>
        </w:rPr>
        <w:t>ЛУКОЙЛ-Ростовэнерго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Махачкалатеплосервис</w:t>
      </w:r>
      <w:proofErr w:type="spellEnd"/>
      <w:r>
        <w:rPr>
          <w:szCs w:val="28"/>
        </w:rPr>
        <w:t>».</w:t>
      </w:r>
    </w:p>
    <w:p w:rsidR="00087863" w:rsidRDefault="00087863" w:rsidP="00087863">
      <w:pPr>
        <w:pStyle w:val="a9"/>
        <w:spacing w:line="420" w:lineRule="exact"/>
        <w:ind w:firstLine="900"/>
      </w:pPr>
      <w:r>
        <w:rPr>
          <w:sz w:val="14"/>
          <w:szCs w:val="14"/>
        </w:rPr>
        <w:t xml:space="preserve">                      </w:t>
      </w:r>
      <w:r>
        <w:rPr>
          <w:szCs w:val="28"/>
        </w:rPr>
        <w:t>II.</w:t>
      </w:r>
      <w:r>
        <w:rPr>
          <w:sz w:val="14"/>
          <w:szCs w:val="14"/>
        </w:rPr>
        <w:t xml:space="preserve">                 </w:t>
      </w:r>
      <w:r>
        <w:rPr>
          <w:szCs w:val="28"/>
        </w:rPr>
        <w:t>Временной интервал исследования рынка – 2009- 2010 годы.</w:t>
      </w:r>
    </w:p>
    <w:p w:rsidR="00087863" w:rsidRDefault="00087863" w:rsidP="00087863">
      <w:pPr>
        <w:pStyle w:val="a9"/>
        <w:spacing w:line="420" w:lineRule="exact"/>
        <w:ind w:firstLine="900"/>
      </w:pPr>
      <w:r>
        <w:rPr>
          <w:sz w:val="14"/>
          <w:szCs w:val="14"/>
        </w:rPr>
        <w:t xml:space="preserve">                   </w:t>
      </w:r>
      <w:r>
        <w:rPr>
          <w:szCs w:val="28"/>
        </w:rPr>
        <w:t>III.</w:t>
      </w:r>
      <w:r>
        <w:rPr>
          <w:sz w:val="14"/>
          <w:szCs w:val="14"/>
        </w:rPr>
        <w:t xml:space="preserve">                 </w:t>
      </w:r>
      <w:r>
        <w:rPr>
          <w:szCs w:val="28"/>
        </w:rPr>
        <w:t>Продуктовыми границами рынка являются  услуга теплоснабжения.</w:t>
      </w:r>
    </w:p>
    <w:p w:rsidR="00087863" w:rsidRDefault="00087863" w:rsidP="00087863">
      <w:pPr>
        <w:pStyle w:val="a9"/>
        <w:spacing w:line="420" w:lineRule="exact"/>
        <w:ind w:firstLine="900"/>
      </w:pPr>
      <w:r>
        <w:rPr>
          <w:sz w:val="14"/>
          <w:szCs w:val="14"/>
        </w:rPr>
        <w:t xml:space="preserve">                  </w:t>
      </w:r>
      <w:r>
        <w:rPr>
          <w:szCs w:val="28"/>
        </w:rPr>
        <w:t>IV.</w:t>
      </w:r>
      <w:r>
        <w:rPr>
          <w:sz w:val="14"/>
          <w:szCs w:val="14"/>
        </w:rPr>
        <w:t xml:space="preserve">                 </w:t>
      </w:r>
      <w:r>
        <w:rPr>
          <w:szCs w:val="28"/>
        </w:rPr>
        <w:t>За географические границы данного рынка приняты административные границы МО «город Махачкала».</w:t>
      </w:r>
    </w:p>
    <w:p w:rsidR="00087863" w:rsidRDefault="00087863" w:rsidP="00087863">
      <w:pPr>
        <w:pStyle w:val="a9"/>
        <w:spacing w:line="420" w:lineRule="exact"/>
        <w:ind w:firstLine="900"/>
      </w:pPr>
      <w:r>
        <w:rPr>
          <w:sz w:val="14"/>
          <w:szCs w:val="14"/>
        </w:rPr>
        <w:t xml:space="preserve">                     </w:t>
      </w:r>
      <w:r>
        <w:rPr>
          <w:szCs w:val="28"/>
        </w:rPr>
        <w:t>V.</w:t>
      </w:r>
      <w:r>
        <w:rPr>
          <w:sz w:val="14"/>
          <w:szCs w:val="14"/>
        </w:rPr>
        <w:t xml:space="preserve">                 </w:t>
      </w:r>
      <w:proofErr w:type="gramStart"/>
      <w:r>
        <w:rPr>
          <w:szCs w:val="28"/>
        </w:rPr>
        <w:t>Организациями</w:t>
      </w:r>
      <w:proofErr w:type="gramEnd"/>
      <w:r>
        <w:rPr>
          <w:szCs w:val="28"/>
        </w:rPr>
        <w:t xml:space="preserve"> оказывающими услуги по теплоснабжению на территории города Махачкала являются ОАО «</w:t>
      </w:r>
      <w:proofErr w:type="spellStart"/>
      <w:r>
        <w:rPr>
          <w:szCs w:val="28"/>
        </w:rPr>
        <w:t>Махачкалатеплоэнерго</w:t>
      </w:r>
      <w:proofErr w:type="spellEnd"/>
      <w:r>
        <w:rPr>
          <w:szCs w:val="28"/>
        </w:rPr>
        <w:t>», ООО «</w:t>
      </w:r>
      <w:proofErr w:type="spellStart"/>
      <w:r>
        <w:rPr>
          <w:szCs w:val="28"/>
        </w:rPr>
        <w:t>ЛУКОЙЛ-Ростовэнерго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Махачкалатеплосервис</w:t>
      </w:r>
      <w:proofErr w:type="spellEnd"/>
      <w:r>
        <w:rPr>
          <w:szCs w:val="28"/>
        </w:rPr>
        <w:t xml:space="preserve">». </w:t>
      </w:r>
    </w:p>
    <w:p w:rsidR="00087863" w:rsidRDefault="00087863" w:rsidP="00087863">
      <w:pPr>
        <w:pStyle w:val="a9"/>
        <w:spacing w:line="420" w:lineRule="exact"/>
        <w:ind w:firstLine="900"/>
      </w:pPr>
      <w:r>
        <w:rPr>
          <w:sz w:val="14"/>
          <w:szCs w:val="14"/>
        </w:rPr>
        <w:t xml:space="preserve">                  </w:t>
      </w:r>
      <w:r>
        <w:rPr>
          <w:szCs w:val="28"/>
        </w:rPr>
        <w:t>VI.</w:t>
      </w:r>
      <w:r>
        <w:rPr>
          <w:sz w:val="14"/>
          <w:szCs w:val="14"/>
        </w:rPr>
        <w:t xml:space="preserve">                 </w:t>
      </w:r>
      <w:r>
        <w:rPr>
          <w:szCs w:val="28"/>
        </w:rPr>
        <w:t xml:space="preserve">Общий объем тепловой энергией, реализованной конечным потребителям в 2009 и 2010 годах составил 805088,34 Гкал и 1040322,39 Гкал соответственно. Из них: </w:t>
      </w:r>
    </w:p>
    <w:p w:rsidR="00087863" w:rsidRDefault="00087863" w:rsidP="00087863">
      <w:pPr>
        <w:pStyle w:val="a9"/>
        <w:spacing w:line="420" w:lineRule="exact"/>
        <w:ind w:left="900"/>
      </w:pPr>
      <w:r>
        <w:rPr>
          <w:b/>
          <w:szCs w:val="28"/>
        </w:rPr>
        <w:t>в 2009 году</w:t>
      </w:r>
      <w:r>
        <w:rPr>
          <w:szCs w:val="28"/>
        </w:rPr>
        <w:t xml:space="preserve"> ОАО «</w:t>
      </w:r>
      <w:proofErr w:type="spellStart"/>
      <w:r>
        <w:rPr>
          <w:szCs w:val="28"/>
        </w:rPr>
        <w:t>Махачкалатеплоэнерго</w:t>
      </w:r>
      <w:proofErr w:type="spellEnd"/>
      <w:r>
        <w:rPr>
          <w:szCs w:val="28"/>
        </w:rPr>
        <w:t xml:space="preserve">» - 450432 Гкал, </w:t>
      </w:r>
    </w:p>
    <w:p w:rsidR="00087863" w:rsidRDefault="00087863" w:rsidP="00087863">
      <w:pPr>
        <w:pStyle w:val="a9"/>
        <w:spacing w:line="420" w:lineRule="exact"/>
        <w:ind w:left="900"/>
      </w:pPr>
      <w:r>
        <w:rPr>
          <w:szCs w:val="28"/>
        </w:rPr>
        <w:t>ООО «</w:t>
      </w:r>
      <w:proofErr w:type="spellStart"/>
      <w:r>
        <w:rPr>
          <w:szCs w:val="28"/>
        </w:rPr>
        <w:t>ЛУКОЙЛ-Ростовэнерго</w:t>
      </w:r>
      <w:proofErr w:type="spellEnd"/>
      <w:r>
        <w:rPr>
          <w:szCs w:val="28"/>
        </w:rPr>
        <w:t>» - 192482 Гкал,</w:t>
      </w:r>
    </w:p>
    <w:p w:rsidR="00087863" w:rsidRDefault="00087863" w:rsidP="00087863">
      <w:pPr>
        <w:pStyle w:val="a9"/>
        <w:spacing w:line="420" w:lineRule="exact"/>
        <w:ind w:left="900"/>
      </w:pPr>
      <w:r>
        <w:rPr>
          <w:szCs w:val="28"/>
        </w:rPr>
        <w:t>ОАО «</w:t>
      </w:r>
      <w:proofErr w:type="spellStart"/>
      <w:r>
        <w:rPr>
          <w:szCs w:val="28"/>
        </w:rPr>
        <w:t>Махачкалатеплосервис</w:t>
      </w:r>
      <w:proofErr w:type="spellEnd"/>
      <w:r>
        <w:rPr>
          <w:szCs w:val="28"/>
        </w:rPr>
        <w:t xml:space="preserve">» - 162174,34 Гкал </w:t>
      </w:r>
    </w:p>
    <w:p w:rsidR="00087863" w:rsidRDefault="00087863" w:rsidP="00087863">
      <w:pPr>
        <w:pStyle w:val="a9"/>
        <w:spacing w:line="420" w:lineRule="exact"/>
        <w:ind w:left="900"/>
      </w:pPr>
      <w:r>
        <w:rPr>
          <w:b/>
          <w:szCs w:val="28"/>
        </w:rPr>
        <w:lastRenderedPageBreak/>
        <w:t>и в 2010 году</w:t>
      </w:r>
      <w:r>
        <w:rPr>
          <w:szCs w:val="28"/>
        </w:rPr>
        <w:t xml:space="preserve"> ОАО «</w:t>
      </w:r>
      <w:proofErr w:type="spellStart"/>
      <w:r>
        <w:rPr>
          <w:szCs w:val="28"/>
        </w:rPr>
        <w:t>Махачкалатеплоэнерго</w:t>
      </w:r>
      <w:proofErr w:type="spellEnd"/>
      <w:r>
        <w:rPr>
          <w:szCs w:val="28"/>
        </w:rPr>
        <w:t>» - 427574 Гкал,</w:t>
      </w:r>
    </w:p>
    <w:p w:rsidR="00087863" w:rsidRDefault="00087863" w:rsidP="00087863">
      <w:pPr>
        <w:pStyle w:val="a9"/>
        <w:spacing w:line="420" w:lineRule="exact"/>
        <w:ind w:left="900"/>
      </w:pPr>
      <w:r>
        <w:rPr>
          <w:szCs w:val="28"/>
        </w:rPr>
        <w:t>ООО  «</w:t>
      </w:r>
      <w:proofErr w:type="spellStart"/>
      <w:r>
        <w:rPr>
          <w:szCs w:val="28"/>
        </w:rPr>
        <w:t>ЛУКОЙЛ-Ростовэнерго</w:t>
      </w:r>
      <w:proofErr w:type="spellEnd"/>
      <w:r>
        <w:rPr>
          <w:szCs w:val="28"/>
        </w:rPr>
        <w:t>» - 456485 Гкал,</w:t>
      </w:r>
    </w:p>
    <w:p w:rsidR="00087863" w:rsidRDefault="00087863" w:rsidP="00087863">
      <w:pPr>
        <w:pStyle w:val="a9"/>
        <w:spacing w:line="420" w:lineRule="exact"/>
        <w:ind w:left="900"/>
      </w:pPr>
      <w:r>
        <w:rPr>
          <w:szCs w:val="28"/>
        </w:rPr>
        <w:t>ОАО «</w:t>
      </w:r>
      <w:proofErr w:type="spellStart"/>
      <w:r>
        <w:rPr>
          <w:szCs w:val="28"/>
        </w:rPr>
        <w:t>Махачкалатеплосервис</w:t>
      </w:r>
      <w:proofErr w:type="spellEnd"/>
      <w:r>
        <w:rPr>
          <w:szCs w:val="28"/>
        </w:rPr>
        <w:t>» - 156263,39 Гкал.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Все три организации ОАО «</w:t>
      </w:r>
      <w:proofErr w:type="spellStart"/>
      <w:r>
        <w:rPr>
          <w:szCs w:val="28"/>
        </w:rPr>
        <w:t>Махачкалатеплоэнерго</w:t>
      </w:r>
      <w:proofErr w:type="spellEnd"/>
      <w:r>
        <w:rPr>
          <w:szCs w:val="28"/>
        </w:rPr>
        <w:t>», ООО «</w:t>
      </w:r>
      <w:proofErr w:type="spellStart"/>
      <w:r>
        <w:rPr>
          <w:szCs w:val="28"/>
        </w:rPr>
        <w:t>ЛУКОЙЛ-Ростовэнерго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Махачкалатеплосервис</w:t>
      </w:r>
      <w:proofErr w:type="spellEnd"/>
      <w:r>
        <w:rPr>
          <w:szCs w:val="28"/>
        </w:rPr>
        <w:t>» являются субъектами естественных монополий на рынке определенного товара и включены в региональный раздел Реестра хозяйствующих субъектов,  ОАО «</w:t>
      </w:r>
      <w:proofErr w:type="spellStart"/>
      <w:r>
        <w:rPr>
          <w:szCs w:val="28"/>
        </w:rPr>
        <w:t>Махачкалатеплоэнерго</w:t>
      </w:r>
      <w:proofErr w:type="spellEnd"/>
      <w:r>
        <w:rPr>
          <w:szCs w:val="28"/>
        </w:rPr>
        <w:t>» - приказом от 24.06.1996г. №8а, ООО «</w:t>
      </w:r>
      <w:proofErr w:type="spellStart"/>
      <w:r>
        <w:rPr>
          <w:szCs w:val="28"/>
        </w:rPr>
        <w:t>ЛУКОЙЛ-Ростовэнерго</w:t>
      </w:r>
      <w:proofErr w:type="spellEnd"/>
      <w:r>
        <w:rPr>
          <w:szCs w:val="28"/>
        </w:rPr>
        <w:t>» приказом от 31.12.2009г. №319, ОАО «</w:t>
      </w:r>
      <w:proofErr w:type="spellStart"/>
      <w:r>
        <w:rPr>
          <w:szCs w:val="28"/>
        </w:rPr>
        <w:t>Махачкалатеплосервис</w:t>
      </w:r>
      <w:proofErr w:type="spellEnd"/>
      <w:r>
        <w:rPr>
          <w:szCs w:val="28"/>
        </w:rPr>
        <w:t>» приказом от 20.03.2008г. №37.</w:t>
      </w:r>
    </w:p>
    <w:p w:rsidR="00087863" w:rsidRDefault="00087863" w:rsidP="00087863">
      <w:pPr>
        <w:pStyle w:val="a9"/>
        <w:tabs>
          <w:tab w:val="left" w:pos="1440"/>
        </w:tabs>
        <w:spacing w:line="420" w:lineRule="exact"/>
        <w:ind w:firstLine="682"/>
      </w:pPr>
      <w:r>
        <w:rPr>
          <w:bCs/>
          <w:sz w:val="14"/>
          <w:szCs w:val="14"/>
        </w:rPr>
        <w:t xml:space="preserve">       </w:t>
      </w:r>
      <w:r>
        <w:rPr>
          <w:bCs/>
          <w:szCs w:val="28"/>
        </w:rPr>
        <w:t>VII.</w:t>
      </w:r>
      <w:r>
        <w:rPr>
          <w:bCs/>
          <w:sz w:val="14"/>
          <w:szCs w:val="14"/>
        </w:rPr>
        <w:t xml:space="preserve">                          </w:t>
      </w:r>
      <w:r>
        <w:rPr>
          <w:szCs w:val="28"/>
        </w:rPr>
        <w:t xml:space="preserve"> Коэффициент рыночной концентрации (CR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равен 100 и </w:t>
      </w:r>
      <w:r>
        <w:rPr>
          <w:bCs/>
          <w:szCs w:val="28"/>
        </w:rPr>
        <w:t xml:space="preserve">индекс рыночной концентрации </w:t>
      </w:r>
      <w:proofErr w:type="spellStart"/>
      <w:r>
        <w:rPr>
          <w:bCs/>
          <w:szCs w:val="28"/>
        </w:rPr>
        <w:t>Герфиндаля-Гиршмана</w:t>
      </w:r>
      <w:proofErr w:type="spellEnd"/>
      <w:r>
        <w:rPr>
          <w:bCs/>
          <w:szCs w:val="28"/>
        </w:rPr>
        <w:t xml:space="preserve"> составляет 4107,6.</w:t>
      </w:r>
    </w:p>
    <w:p w:rsidR="00087863" w:rsidRDefault="00087863" w:rsidP="00087863">
      <w:pPr>
        <w:pStyle w:val="a9"/>
        <w:tabs>
          <w:tab w:val="left" w:pos="1440"/>
        </w:tabs>
        <w:spacing w:line="420" w:lineRule="exact"/>
        <w:ind w:firstLine="682"/>
      </w:pPr>
      <w:r>
        <w:rPr>
          <w:bCs/>
          <w:sz w:val="14"/>
          <w:szCs w:val="14"/>
        </w:rPr>
        <w:t xml:space="preserve">    </w:t>
      </w:r>
      <w:r>
        <w:rPr>
          <w:bCs/>
          <w:szCs w:val="28"/>
        </w:rPr>
        <w:t>VIII.</w:t>
      </w:r>
      <w:r>
        <w:rPr>
          <w:bCs/>
          <w:sz w:val="14"/>
          <w:szCs w:val="14"/>
        </w:rPr>
        <w:t xml:space="preserve">                          </w:t>
      </w:r>
      <w:r>
        <w:rPr>
          <w:bCs/>
          <w:szCs w:val="28"/>
        </w:rPr>
        <w:t>Приказов, распоряжений, постановлений и других нормативных актов, создающих преимущественные условия отдельным хозяйствующим субъектам, действующим на данном рынке Администрациями муниципальных районов г</w:t>
      </w:r>
      <w:proofErr w:type="gramStart"/>
      <w:r>
        <w:rPr>
          <w:bCs/>
          <w:szCs w:val="28"/>
        </w:rPr>
        <w:t>.М</w:t>
      </w:r>
      <w:proofErr w:type="gramEnd"/>
      <w:r>
        <w:rPr>
          <w:bCs/>
          <w:szCs w:val="28"/>
        </w:rPr>
        <w:t>ахачкала и Администрацией МО «город Махачкала» издано не было.</w:t>
      </w:r>
    </w:p>
    <w:p w:rsidR="00087863" w:rsidRDefault="00087863" w:rsidP="00087863">
      <w:pPr>
        <w:pStyle w:val="a9"/>
        <w:tabs>
          <w:tab w:val="left" w:pos="1440"/>
        </w:tabs>
        <w:spacing w:line="420" w:lineRule="exact"/>
        <w:ind w:firstLine="682"/>
      </w:pPr>
      <w:r>
        <w:rPr>
          <w:bCs/>
          <w:sz w:val="14"/>
          <w:szCs w:val="14"/>
        </w:rPr>
        <w:t xml:space="preserve">          </w:t>
      </w:r>
      <w:r>
        <w:rPr>
          <w:bCs/>
          <w:szCs w:val="28"/>
        </w:rPr>
        <w:t>IX.</w:t>
      </w:r>
      <w:r>
        <w:rPr>
          <w:bCs/>
          <w:sz w:val="14"/>
          <w:szCs w:val="14"/>
        </w:rPr>
        <w:t xml:space="preserve">                          </w:t>
      </w:r>
      <w:r>
        <w:rPr>
          <w:bCs/>
          <w:szCs w:val="28"/>
        </w:rPr>
        <w:t xml:space="preserve">Имущество </w:t>
      </w:r>
      <w:r>
        <w:rPr>
          <w:szCs w:val="28"/>
        </w:rPr>
        <w:t>ОАО «</w:t>
      </w:r>
      <w:proofErr w:type="spellStart"/>
      <w:r>
        <w:rPr>
          <w:szCs w:val="28"/>
        </w:rPr>
        <w:t>Махачкалатеплоэнерго</w:t>
      </w:r>
      <w:proofErr w:type="spellEnd"/>
      <w:r>
        <w:rPr>
          <w:szCs w:val="28"/>
        </w:rPr>
        <w:t>» находится в собственности предприятия, имуществ</w:t>
      </w:r>
      <w:proofErr w:type="gramStart"/>
      <w:r>
        <w:rPr>
          <w:szCs w:val="28"/>
        </w:rPr>
        <w:t>о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ЛУКОЙЛ-Ростовэнерго</w:t>
      </w:r>
      <w:proofErr w:type="spellEnd"/>
      <w:r>
        <w:rPr>
          <w:szCs w:val="28"/>
        </w:rPr>
        <w:t>» также находится в собственности предприятия, имущество ОАО «</w:t>
      </w:r>
      <w:proofErr w:type="spellStart"/>
      <w:r>
        <w:rPr>
          <w:szCs w:val="28"/>
        </w:rPr>
        <w:t>Махачкалатеплосервис</w:t>
      </w:r>
      <w:proofErr w:type="spellEnd"/>
      <w:r>
        <w:rPr>
          <w:szCs w:val="28"/>
        </w:rPr>
        <w:t>» находится в муниципальной собственности.</w:t>
      </w:r>
    </w:p>
    <w:p w:rsidR="00087863" w:rsidRDefault="00087863" w:rsidP="00087863">
      <w:pPr>
        <w:pStyle w:val="a9"/>
        <w:tabs>
          <w:tab w:val="left" w:pos="1440"/>
        </w:tabs>
        <w:spacing w:line="420" w:lineRule="exact"/>
        <w:ind w:firstLine="682"/>
      </w:pPr>
      <w:r>
        <w:rPr>
          <w:bCs/>
          <w:sz w:val="14"/>
          <w:szCs w:val="14"/>
        </w:rPr>
        <w:t xml:space="preserve">             </w:t>
      </w:r>
      <w:r>
        <w:rPr>
          <w:bCs/>
          <w:szCs w:val="28"/>
        </w:rPr>
        <w:t>X.</w:t>
      </w:r>
      <w:r>
        <w:rPr>
          <w:bCs/>
          <w:sz w:val="14"/>
          <w:szCs w:val="14"/>
        </w:rPr>
        <w:t xml:space="preserve">                          </w:t>
      </w:r>
      <w:r>
        <w:rPr>
          <w:szCs w:val="28"/>
        </w:rPr>
        <w:t xml:space="preserve">Таким образом, в соответствии с приказом ФАС России от 27.09.2010 №551 «О плане работы ФАС России по анализу состояния конкуренции на товарных рынках на 2009-2010 гг.», данный </w:t>
      </w:r>
      <w:r>
        <w:rPr>
          <w:b/>
          <w:szCs w:val="28"/>
        </w:rPr>
        <w:t xml:space="preserve">товарный рынок </w:t>
      </w:r>
      <w:r>
        <w:rPr>
          <w:szCs w:val="28"/>
        </w:rPr>
        <w:t xml:space="preserve">можно отнести к рынку </w:t>
      </w:r>
      <w:r>
        <w:rPr>
          <w:b/>
          <w:szCs w:val="28"/>
        </w:rPr>
        <w:t>с высоким уровнем концентрации. 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b/>
          <w:szCs w:val="28"/>
        </w:rPr>
        <w:t>Город Дербент: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Единственной организацией оказывающей услуги по теплоснабжению на территории города Дербент является МУП «Тепловые сети».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Общий объем реализованной тепловой энергии конечным потребителям в 2009 и 2010 годах составил 45412 Гкал и 36793 Гкал соответственно.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lastRenderedPageBreak/>
        <w:t>Организация включена в региональный раздел Реестра хозяйствующих субъектов, занимающих долю на рынке определенного товара более 35 процентов приказом от 20.03.2008г. №37.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Все имущество МУП «Тепловые сети» находится в муниципальной собственности города Дербент и принадлежит предприятию на праве хозяйственного ведения.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Барьеры входа на рынок не выявлены. Коэффициент рыночной концентрации (CR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равен 100 и </w:t>
      </w:r>
      <w:r>
        <w:rPr>
          <w:bCs/>
          <w:szCs w:val="28"/>
        </w:rPr>
        <w:t xml:space="preserve">индекс рыночной концентрации </w:t>
      </w:r>
      <w:proofErr w:type="spellStart"/>
      <w:r>
        <w:rPr>
          <w:bCs/>
          <w:szCs w:val="28"/>
        </w:rPr>
        <w:t>Герфиндаля-Гиршмана</w:t>
      </w:r>
      <w:proofErr w:type="spellEnd"/>
      <w:r>
        <w:rPr>
          <w:bCs/>
          <w:szCs w:val="28"/>
        </w:rPr>
        <w:t xml:space="preserve"> составляет 10000.</w:t>
      </w:r>
    </w:p>
    <w:p w:rsidR="00087863" w:rsidRDefault="00087863" w:rsidP="00087863">
      <w:pPr>
        <w:pStyle w:val="a9"/>
        <w:tabs>
          <w:tab w:val="left" w:pos="1440"/>
        </w:tabs>
        <w:spacing w:line="420" w:lineRule="exact"/>
      </w:pPr>
      <w:r>
        <w:rPr>
          <w:szCs w:val="28"/>
        </w:rPr>
        <w:t xml:space="preserve">Таким образом, в соответствии с приказом ФАС России от 27.09.2010 №551 «О плане работы ФАС России по анализу состояния конкуренции на товарных рынках на 2009-2010 гг.», данный </w:t>
      </w:r>
      <w:r>
        <w:rPr>
          <w:b/>
          <w:szCs w:val="28"/>
        </w:rPr>
        <w:t xml:space="preserve">товарный рынок </w:t>
      </w:r>
      <w:r>
        <w:rPr>
          <w:szCs w:val="28"/>
        </w:rPr>
        <w:t xml:space="preserve">можно отнести к рынку </w:t>
      </w:r>
      <w:r>
        <w:rPr>
          <w:b/>
          <w:szCs w:val="28"/>
        </w:rPr>
        <w:t>с высоким уровнем концентрации.</w:t>
      </w:r>
      <w:r>
        <w:rPr>
          <w:szCs w:val="28"/>
        </w:rPr>
        <w:t> 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b/>
          <w:szCs w:val="28"/>
        </w:rPr>
        <w:t>Город Хасавюрт: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Единственной организацией оказывающей услуги по теплоснабжению на территории города Хасавюрт является ООО «</w:t>
      </w:r>
      <w:proofErr w:type="spellStart"/>
      <w:r>
        <w:rPr>
          <w:szCs w:val="28"/>
        </w:rPr>
        <w:t>Теплоснаб</w:t>
      </w:r>
      <w:proofErr w:type="spellEnd"/>
      <w:r>
        <w:rPr>
          <w:szCs w:val="28"/>
        </w:rPr>
        <w:t xml:space="preserve">». 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Общий объем реализованной тепловой энергии конечным потребителям в 2009 и 2010 годах составил 14870 Гкал и 30914 Гкал соответственно.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Организация включена в региональный раздел Реестра хозяйствующих субъектов, занимающих долю на рынке определенного товара более 35 процентов приказом от 20.03.2008г. №37.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Все имущество Общества с ограниченной ответственностью находится в собственности предприятия.</w:t>
      </w:r>
    </w:p>
    <w:p w:rsidR="00087863" w:rsidRDefault="00087863" w:rsidP="00087863">
      <w:pPr>
        <w:pStyle w:val="a9"/>
        <w:spacing w:line="420" w:lineRule="exact"/>
        <w:ind w:firstLine="540"/>
      </w:pPr>
      <w:r>
        <w:rPr>
          <w:szCs w:val="28"/>
        </w:rPr>
        <w:t>Барьеры входа на рынок не выявлены. Коэффициент рыночной концентрации (CR</w:t>
      </w:r>
      <w:r>
        <w:rPr>
          <w:szCs w:val="28"/>
          <w:vertAlign w:val="subscript"/>
        </w:rPr>
        <w:t>3</w:t>
      </w:r>
      <w:r>
        <w:rPr>
          <w:szCs w:val="28"/>
        </w:rPr>
        <w:t>)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равен 100 и </w:t>
      </w:r>
      <w:r>
        <w:rPr>
          <w:bCs/>
          <w:szCs w:val="28"/>
        </w:rPr>
        <w:t xml:space="preserve">индекс рыночной концентрации </w:t>
      </w:r>
      <w:proofErr w:type="spellStart"/>
      <w:r>
        <w:rPr>
          <w:bCs/>
          <w:szCs w:val="28"/>
        </w:rPr>
        <w:t>Герфиндаля-Гиршмана</w:t>
      </w:r>
      <w:proofErr w:type="spellEnd"/>
      <w:r>
        <w:rPr>
          <w:bCs/>
          <w:szCs w:val="28"/>
        </w:rPr>
        <w:t xml:space="preserve"> составляет 10000.</w:t>
      </w:r>
    </w:p>
    <w:p w:rsidR="009032BA" w:rsidRPr="00ED5C84" w:rsidRDefault="00087863" w:rsidP="00087863">
      <w:pPr>
        <w:pStyle w:val="a9"/>
        <w:tabs>
          <w:tab w:val="left" w:pos="1440"/>
        </w:tabs>
        <w:spacing w:line="420" w:lineRule="exact"/>
      </w:pPr>
      <w:r>
        <w:rPr>
          <w:szCs w:val="28"/>
        </w:rPr>
        <w:t xml:space="preserve">Таким образом, в соответствии с приказом ФАС России от 27.09.2010 №551 «О плане работы ФАС России по анализу состояния конкуренции на товарных рынках на 2009-2010 гг.», данный </w:t>
      </w:r>
      <w:r>
        <w:rPr>
          <w:b/>
          <w:szCs w:val="28"/>
        </w:rPr>
        <w:t xml:space="preserve">товарный рынок </w:t>
      </w:r>
      <w:r>
        <w:rPr>
          <w:szCs w:val="28"/>
        </w:rPr>
        <w:t xml:space="preserve">можно отнести к рынку </w:t>
      </w:r>
      <w:r>
        <w:rPr>
          <w:b/>
          <w:szCs w:val="28"/>
        </w:rPr>
        <w:t>с высоким уровнем концентрации.</w:t>
      </w:r>
      <w:r>
        <w:rPr>
          <w:bCs/>
          <w:szCs w:val="28"/>
        </w:rPr>
        <w:t> </w:t>
      </w:r>
    </w:p>
    <w:sectPr w:rsidR="009032BA" w:rsidRPr="00ED5C84" w:rsidSect="009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B4"/>
    <w:rsid w:val="0008349D"/>
    <w:rsid w:val="00087863"/>
    <w:rsid w:val="000F5910"/>
    <w:rsid w:val="001B53AD"/>
    <w:rsid w:val="001F4E32"/>
    <w:rsid w:val="00241BAE"/>
    <w:rsid w:val="002B497E"/>
    <w:rsid w:val="004A6F1D"/>
    <w:rsid w:val="006732D1"/>
    <w:rsid w:val="006E7B9C"/>
    <w:rsid w:val="007162B4"/>
    <w:rsid w:val="008A6F43"/>
    <w:rsid w:val="009032BA"/>
    <w:rsid w:val="009716CC"/>
    <w:rsid w:val="009D3575"/>
    <w:rsid w:val="00B723D3"/>
    <w:rsid w:val="00BF1CAB"/>
    <w:rsid w:val="00D831E7"/>
    <w:rsid w:val="00E6661C"/>
    <w:rsid w:val="00ED5C84"/>
    <w:rsid w:val="00EF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4"/>
    <w:rPr>
      <w:b/>
      <w:bCs/>
    </w:rPr>
  </w:style>
  <w:style w:type="character" w:styleId="a5">
    <w:name w:val="Hyperlink"/>
    <w:basedOn w:val="a0"/>
    <w:uiPriority w:val="99"/>
    <w:semiHidden/>
    <w:unhideWhenUsed/>
    <w:rsid w:val="007162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59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C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E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F5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2011-11-24T07:23:00Z</dcterms:created>
  <dcterms:modified xsi:type="dcterms:W3CDTF">2011-11-24T09:26:00Z</dcterms:modified>
</cp:coreProperties>
</file>